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119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материалы дела об административном правонарушении, предусмотренном частью 5 статьи 14.25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Чагиной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Лилии Сергеевны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3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3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>
        <w:rPr>
          <w:rStyle w:val="cat-UserDefinedgrp-3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согласно постановлению начальника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ИФНС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11 </w:t>
      </w:r>
      <w:r>
        <w:rPr>
          <w:rFonts w:ascii="Times New Roman" w:eastAsia="Times New Roman" w:hAnsi="Times New Roman" w:cs="Times New Roman"/>
          <w:sz w:val="28"/>
          <w:szCs w:val="28"/>
        </w:rPr>
        <w:t>по ХМАО – Югр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привлеченным к административной ответственности по ч.4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14.25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аналогичное правонарушение, </w:t>
      </w:r>
      <w:r>
        <w:rPr>
          <w:rFonts w:ascii="Times New Roman" w:eastAsia="Times New Roman" w:hAnsi="Times New Roman" w:cs="Times New Roman"/>
          <w:sz w:val="28"/>
          <w:szCs w:val="28"/>
        </w:rPr>
        <w:t>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8 августа 2001 г. N 129-ФЗ "О государственной регистрации юридических лиц и индивидуальных предпринимателей"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Чагина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 в суд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о причинах неявки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ходатайство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доказательства, мировой судья приходит к следующему.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 ст.54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(муниципального образования).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положений п.3 ст.54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п.5 ст.54 ГК РФ место нахождения юридического лица указываются в его учредительном документе и в едином государственном реестре юридических лиц, а в случае, если юридическое лицо действует на основании типового устава,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утвержденного уполномоченным государственным органом, - только в едином государственном реестре юридических лиц.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«в» п. 1 ст. 5 Федерального закона от 8 августа 2001 г. N 129-ФЗ "О государственной регистрации юридических лиц и индивидуальных предпринимателей" - в едином государственном реестре юридических лиц содержатся сведения об адресе юридического лица в пределах места нахождения юридического лица.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"в"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1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"д"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(или)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"л" пункта 1 статьи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1.2 ст. 9 Федерального закона от 8 августа 2001 г. N 129-ФЗ "О государственной регистрации юридических лиц и индивидуальных предпринимателей",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еобходимые для государственной регистрации заявление, уведомление или сообщение представляются в регистрирующий орган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2123875/paragraph/450122/number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форме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утвержденной уполномоченным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37054/entry/12593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органом исполнительной власти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удостоверяются подписью заявителя, подлинность которой должна быть засвидетельствована в нотариальном порядке, если иное не установлено настоящим пунктом.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представителями ИФН</w:t>
      </w:r>
      <w:r>
        <w:rPr>
          <w:rFonts w:ascii="Times New Roman" w:eastAsia="Times New Roman" w:hAnsi="Times New Roman" w:cs="Times New Roman"/>
          <w:sz w:val="28"/>
          <w:szCs w:val="28"/>
        </w:rPr>
        <w:t>С России по г. Сургуту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произведён осмотр помещени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ЕГРЮЛ в качестве места нахождения 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которого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Чагина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именно: </w:t>
      </w:r>
      <w:r>
        <w:rPr>
          <w:rStyle w:val="cat-UserDefinedgrp-42rplc-3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проверки 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выявлено, что общество по указанному в учредительных документах и содержащем</w:t>
      </w:r>
      <w:r>
        <w:rPr>
          <w:rFonts w:ascii="Times New Roman" w:eastAsia="Times New Roman" w:hAnsi="Times New Roman" w:cs="Times New Roman"/>
          <w:sz w:val="28"/>
          <w:szCs w:val="28"/>
        </w:rPr>
        <w:t>уся в ЕГРЮЛ адресу не располагается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Вывески, таблички, иные идентифицирующие признаки, позволяющие установить место нахождения юридического лица отсутствуют.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адрес </w:t>
      </w:r>
      <w:r>
        <w:rPr>
          <w:rFonts w:ascii="Times New Roman" w:eastAsia="Times New Roman" w:hAnsi="Times New Roman" w:cs="Times New Roman"/>
          <w:sz w:val="28"/>
          <w:szCs w:val="28"/>
        </w:rPr>
        <w:t>Чагиной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направлено повторное уведомление о необходимости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и устранении нарушений законодательства о государственной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</w:rPr>
        <w:t>257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 на </w:t>
      </w:r>
      <w:r>
        <w:rPr>
          <w:rFonts w:ascii="Times New Roman" w:eastAsia="Times New Roman" w:hAnsi="Times New Roman" w:cs="Times New Roman"/>
          <w:sz w:val="28"/>
          <w:szCs w:val="28"/>
        </w:rPr>
        <w:t>Чагину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возложена обязанность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</w:t>
      </w:r>
      <w:r>
        <w:rPr>
          <w:rFonts w:ascii="Times New Roman" w:eastAsia="Times New Roman" w:hAnsi="Times New Roman" w:cs="Times New Roman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кцию достоверных сведений об адресе места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течении </w:t>
      </w:r>
      <w:r>
        <w:rPr>
          <w:rFonts w:ascii="Times New Roman" w:eastAsia="Times New Roman" w:hAnsi="Times New Roman" w:cs="Times New Roman"/>
          <w:sz w:val="28"/>
          <w:szCs w:val="28"/>
        </w:rPr>
        <w:t>тридцати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 момента направления Повторного уведомления, т.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до </w:t>
      </w:r>
      <w:r>
        <w:rPr>
          <w:rFonts w:ascii="Times New Roman" w:eastAsia="Times New Roman" w:hAnsi="Times New Roman" w:cs="Times New Roman"/>
          <w:sz w:val="28"/>
          <w:szCs w:val="28"/>
        </w:rPr>
        <w:t>15.09</w:t>
      </w:r>
      <w:r>
        <w:rPr>
          <w:rFonts w:ascii="Times New Roman" w:eastAsia="Times New Roman" w:hAnsi="Times New Roman" w:cs="Times New Roman"/>
          <w:sz w:val="28"/>
          <w:szCs w:val="28"/>
        </w:rPr>
        <w:t>.2025 24:00 включительно.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Чагиной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 и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 объективно подтверждаются совокупностью исследованных доказательств,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861725</w:t>
      </w:r>
      <w:r>
        <w:rPr>
          <w:rFonts w:ascii="Times New Roman" w:eastAsia="Times New Roman" w:hAnsi="Times New Roman" w:cs="Times New Roman"/>
          <w:sz w:val="28"/>
          <w:szCs w:val="28"/>
        </w:rPr>
        <w:t>28900</w:t>
      </w:r>
      <w:r>
        <w:rPr>
          <w:rFonts w:ascii="Times New Roman" w:eastAsia="Times New Roman" w:hAnsi="Times New Roman" w:cs="Times New Roman"/>
          <w:sz w:val="28"/>
          <w:szCs w:val="28"/>
        </w:rPr>
        <w:t>291700002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о направлении копии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явке;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уведомлением о необходимости представления достоверных сведений (повторно) от </w:t>
      </w:r>
      <w:r>
        <w:rPr>
          <w:rFonts w:ascii="Times New Roman" w:eastAsia="Times New Roman" w:hAnsi="Times New Roman" w:cs="Times New Roman"/>
          <w:sz w:val="28"/>
          <w:szCs w:val="28"/>
        </w:rPr>
        <w:t>11.08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№ </w:t>
      </w:r>
      <w:r>
        <w:rPr>
          <w:rFonts w:ascii="Times New Roman" w:eastAsia="Times New Roman" w:hAnsi="Times New Roman" w:cs="Times New Roman"/>
          <w:sz w:val="28"/>
          <w:szCs w:val="28"/>
        </w:rPr>
        <w:t>257/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списком внутренних почтовых отправлений;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861724</w:t>
      </w:r>
      <w:r>
        <w:rPr>
          <w:rFonts w:ascii="Times New Roman" w:eastAsia="Times New Roman" w:hAnsi="Times New Roman" w:cs="Times New Roman"/>
          <w:sz w:val="28"/>
          <w:szCs w:val="28"/>
        </w:rPr>
        <w:t>34000350600003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которого 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Чагина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</w:rPr>
        <w:t>, 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14.25 КоАП РФ;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о направлении копии постановления;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протокола № 09-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принадлежащих юридическому лицу или индивидуальному предпринимателю помещений, территорий от </w:t>
      </w:r>
      <w:r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UserDefinedgrp-39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3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не обнаружено;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заявления заинтересованного лица о недостоверности сведений, включенных в ЕГРЮЛ;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уведомления о необходимости представления достоверных сведений от </w:t>
      </w:r>
      <w:r>
        <w:rPr>
          <w:rFonts w:ascii="Times New Roman" w:eastAsia="Times New Roman" w:hAnsi="Times New Roman" w:cs="Times New Roman"/>
          <w:sz w:val="28"/>
          <w:szCs w:val="28"/>
        </w:rPr>
        <w:t>03.07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eastAsia="Times New Roman" w:hAnsi="Times New Roman" w:cs="Times New Roman"/>
          <w:sz w:val="28"/>
          <w:szCs w:val="28"/>
        </w:rPr>
        <w:t>257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выпиской ЕГРЮЛ в отношении </w:t>
      </w:r>
      <w:r>
        <w:rPr>
          <w:rStyle w:val="cat-UserDefinedgrp-41rplc-5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списком почтовых отправлений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Чагиной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5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как повторное совершение административного правонарушения, предусмотренного частью 4 настоящей статьи, если такое 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судом, в соответствии со статьей 4.3 КоАП РФ,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учитывая характер и степень общественной опасности правонарушения, данные о личности правонарушителя, отсутствие смягчающих и отягчающих ответственность обстоятельств, основываясь на принципах справедливости и соразмерности,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Чагиной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дисквалификации,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Чагину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Лилию Сергеевну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5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дисквалификации на срок один год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Чагиной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Лилии Сергеевне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силу ч. 1,2 ст. 32.11 КоАП РФ,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UserDefinedgrp-37rplc-15">
    <w:name w:val="cat-UserDefined grp-37 rplc-15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2rplc-38">
    <w:name w:val="cat-UserDefined grp-42 rplc-38"/>
    <w:basedOn w:val="DefaultParagraphFont"/>
  </w:style>
  <w:style w:type="character" w:customStyle="1" w:styleId="cat-UserDefinedgrp-39rplc-54">
    <w:name w:val="cat-UserDefined grp-39 rplc-54"/>
    <w:basedOn w:val="DefaultParagraphFont"/>
  </w:style>
  <w:style w:type="character" w:customStyle="1" w:styleId="cat-UserDefinedgrp-43rplc-55">
    <w:name w:val="cat-UserDefined grp-43 rplc-55"/>
    <w:basedOn w:val="DefaultParagraphFont"/>
  </w:style>
  <w:style w:type="character" w:customStyle="1" w:styleId="cat-UserDefinedgrp-41rplc-59">
    <w:name w:val="cat-UserDefined grp-41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